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37" w:rsidRDefault="00BF7D37" w:rsidP="00BF7D37">
      <w:pPr>
        <w:jc w:val="both"/>
        <w:rPr>
          <w:rFonts w:ascii="Arial" w:hAnsi="Arial" w:cs="Arial"/>
          <w:b/>
          <w:bCs/>
          <w:sz w:val="36"/>
          <w:szCs w:val="36"/>
        </w:rPr>
      </w:pPr>
      <w:r w:rsidRPr="00BF7D37">
        <w:rPr>
          <w:rFonts w:ascii="Arial" w:hAnsi="Arial" w:cs="Arial"/>
          <w:b/>
          <w:bCs/>
          <w:sz w:val="36"/>
          <w:szCs w:val="36"/>
        </w:rPr>
        <w:t>Что следует знать о пенсионных накоплениях</w:t>
      </w:r>
    </w:p>
    <w:p w:rsidR="00103F87" w:rsidRPr="0032730E" w:rsidRDefault="00103F87" w:rsidP="00103F87">
      <w:pPr>
        <w:spacing w:after="0" w:line="240" w:lineRule="auto"/>
        <w:rPr>
          <w:rFonts w:ascii="Arial" w:eastAsia="Times New Roman" w:hAnsi="Arial" w:cs="Arial"/>
          <w:b/>
          <w:sz w:val="28"/>
          <w:szCs w:val="28"/>
          <w:lang w:eastAsia="ru-RU"/>
        </w:rPr>
      </w:pPr>
      <w:r w:rsidRPr="0032730E">
        <w:rPr>
          <w:rFonts w:ascii="Arial" w:eastAsia="Times New Roman" w:hAnsi="Arial" w:cs="Arial"/>
          <w:b/>
          <w:sz w:val="28"/>
          <w:szCs w:val="28"/>
          <w:lang w:eastAsia="ru-RU"/>
        </w:rPr>
        <w:t>Пресс-релиз</w:t>
      </w:r>
    </w:p>
    <w:p w:rsidR="00103F87" w:rsidRPr="0032730E" w:rsidRDefault="00103F87" w:rsidP="00103F87">
      <w:pPr>
        <w:spacing w:after="0" w:line="240" w:lineRule="auto"/>
        <w:rPr>
          <w:rFonts w:ascii="Arial" w:eastAsia="Times New Roman" w:hAnsi="Arial" w:cs="Arial"/>
          <w:b/>
          <w:sz w:val="28"/>
          <w:szCs w:val="28"/>
          <w:lang w:eastAsia="ru-RU"/>
        </w:rPr>
      </w:pPr>
      <w:r>
        <w:rPr>
          <w:rFonts w:ascii="Arial" w:eastAsia="Times New Roman" w:hAnsi="Arial" w:cs="Arial"/>
          <w:b/>
          <w:sz w:val="28"/>
          <w:szCs w:val="28"/>
          <w:lang w:eastAsia="ru-RU"/>
        </w:rPr>
        <w:t>23</w:t>
      </w:r>
      <w:r w:rsidRPr="0032730E">
        <w:rPr>
          <w:rFonts w:ascii="Arial" w:eastAsia="Times New Roman" w:hAnsi="Arial" w:cs="Arial"/>
          <w:b/>
          <w:sz w:val="28"/>
          <w:szCs w:val="28"/>
          <w:lang w:eastAsia="ru-RU"/>
        </w:rPr>
        <w:t>.</w:t>
      </w:r>
      <w:r>
        <w:rPr>
          <w:rFonts w:ascii="Arial" w:eastAsia="Times New Roman" w:hAnsi="Arial" w:cs="Arial"/>
          <w:b/>
          <w:sz w:val="28"/>
          <w:szCs w:val="28"/>
          <w:lang w:eastAsia="ru-RU"/>
        </w:rPr>
        <w:t>05</w:t>
      </w:r>
      <w:r w:rsidRPr="0032730E">
        <w:rPr>
          <w:rFonts w:ascii="Arial" w:eastAsia="Times New Roman" w:hAnsi="Arial" w:cs="Arial"/>
          <w:b/>
          <w:sz w:val="28"/>
          <w:szCs w:val="28"/>
          <w:lang w:eastAsia="ru-RU"/>
        </w:rPr>
        <w:t>.201</w:t>
      </w:r>
      <w:r>
        <w:rPr>
          <w:rFonts w:ascii="Arial" w:eastAsia="Times New Roman" w:hAnsi="Arial" w:cs="Arial"/>
          <w:b/>
          <w:sz w:val="28"/>
          <w:szCs w:val="28"/>
          <w:lang w:eastAsia="ru-RU"/>
        </w:rPr>
        <w:t>7</w:t>
      </w:r>
      <w:r w:rsidRPr="0032730E">
        <w:rPr>
          <w:rFonts w:ascii="Arial" w:eastAsia="Times New Roman" w:hAnsi="Arial" w:cs="Arial"/>
          <w:b/>
          <w:sz w:val="28"/>
          <w:szCs w:val="28"/>
          <w:lang w:eastAsia="ru-RU"/>
        </w:rPr>
        <w:t xml:space="preserve"> г.</w:t>
      </w:r>
    </w:p>
    <w:p w:rsidR="00103F87" w:rsidRDefault="00103F87" w:rsidP="00103F87">
      <w:pPr>
        <w:spacing w:after="0" w:line="240" w:lineRule="auto"/>
        <w:rPr>
          <w:rFonts w:ascii="Arial" w:eastAsia="Times New Roman" w:hAnsi="Arial" w:cs="Arial"/>
          <w:b/>
          <w:sz w:val="28"/>
          <w:szCs w:val="28"/>
          <w:lang w:eastAsia="ru-RU"/>
        </w:rPr>
      </w:pPr>
      <w:r w:rsidRPr="0032730E">
        <w:rPr>
          <w:rFonts w:ascii="Arial" w:eastAsia="Times New Roman" w:hAnsi="Arial" w:cs="Arial"/>
          <w:b/>
          <w:sz w:val="28"/>
          <w:szCs w:val="28"/>
          <w:lang w:eastAsia="ru-RU"/>
        </w:rPr>
        <w:t>Нальчик. КБР.</w:t>
      </w:r>
    </w:p>
    <w:p w:rsidR="00103F87" w:rsidRPr="0032730E" w:rsidRDefault="00103F87" w:rsidP="00103F87">
      <w:pPr>
        <w:spacing w:after="0" w:line="240" w:lineRule="auto"/>
        <w:rPr>
          <w:rFonts w:ascii="Arial" w:eastAsia="Times New Roman" w:hAnsi="Arial" w:cs="Arial"/>
          <w:b/>
          <w:sz w:val="28"/>
          <w:szCs w:val="28"/>
          <w:lang w:eastAsia="ru-RU"/>
        </w:rPr>
      </w:pP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Сегодня на основании законодательства работодатели уплачивают страховые взносы в обязательную пенсионную систему по тарифу 22% от фонда оплаты труда работника. Из них 16% идут на формирование страховой пенсии, а 6% тарифа  могут идти на формирование пенсионных накоплений или, по выбору гражданина, все 22% могут идти на формирование страховой пенсии.</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 xml:space="preserve">У граждан 1966 года рождения и старше формирование пенсионных накоплений может происходить только за счет добровольных взносов в рамках Программы государственного </w:t>
      </w:r>
      <w:proofErr w:type="spellStart"/>
      <w:r w:rsidRPr="00BF7D37">
        <w:rPr>
          <w:rFonts w:ascii="Arial" w:hAnsi="Arial" w:cs="Arial"/>
          <w:sz w:val="24"/>
          <w:szCs w:val="24"/>
        </w:rPr>
        <w:t>софинансирования</w:t>
      </w:r>
      <w:proofErr w:type="spellEnd"/>
      <w:r w:rsidRPr="00BF7D37">
        <w:rPr>
          <w:rFonts w:ascii="Arial" w:hAnsi="Arial" w:cs="Arial"/>
          <w:sz w:val="24"/>
          <w:szCs w:val="24"/>
        </w:rPr>
        <w:t xml:space="preserve"> пенсионных накоплений, 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Если же гражданин родился в 1967 году и позднее, до 31 декабря 2015 года ему предоставлялась возможность выбора собственного варианта пенсионного обеспечения в отношении своих будущих пенсионных накоплений:</w:t>
      </w:r>
    </w:p>
    <w:p w:rsidR="00BF7D37" w:rsidRPr="00BF7D37" w:rsidRDefault="00BF7D37" w:rsidP="00BF7D37">
      <w:pPr>
        <w:numPr>
          <w:ilvl w:val="0"/>
          <w:numId w:val="1"/>
        </w:numPr>
        <w:spacing w:line="360" w:lineRule="auto"/>
        <w:jc w:val="both"/>
        <w:rPr>
          <w:rFonts w:ascii="Arial" w:hAnsi="Arial" w:cs="Arial"/>
          <w:sz w:val="24"/>
          <w:szCs w:val="24"/>
        </w:rPr>
      </w:pPr>
      <w:r w:rsidRPr="00BF7D37">
        <w:rPr>
          <w:rFonts w:ascii="Arial" w:hAnsi="Arial" w:cs="Arial"/>
          <w:i/>
          <w:iCs/>
          <w:sz w:val="24"/>
          <w:szCs w:val="24"/>
        </w:rPr>
        <w:t>формировать только страховую пенсию</w:t>
      </w:r>
    </w:p>
    <w:p w:rsidR="00BF7D37" w:rsidRPr="00BF7D37" w:rsidRDefault="00BF7D37" w:rsidP="00BF7D37">
      <w:pPr>
        <w:numPr>
          <w:ilvl w:val="0"/>
          <w:numId w:val="1"/>
        </w:numPr>
        <w:spacing w:line="360" w:lineRule="auto"/>
        <w:jc w:val="both"/>
        <w:rPr>
          <w:rFonts w:ascii="Arial" w:hAnsi="Arial" w:cs="Arial"/>
          <w:sz w:val="24"/>
          <w:szCs w:val="24"/>
        </w:rPr>
      </w:pPr>
      <w:r w:rsidRPr="00BF7D37">
        <w:rPr>
          <w:rFonts w:ascii="Arial" w:hAnsi="Arial" w:cs="Arial"/>
          <w:i/>
          <w:iCs/>
          <w:sz w:val="24"/>
          <w:szCs w:val="24"/>
        </w:rPr>
        <w:t>формировать страховую и накопительную пенсию одновременно</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Гражданам 1966 года рождения и старше выбор варианта пенсионного обеспечения не предоставлялся.</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В настоящее время право выбора варианта пенсионного обеспечения сохраняют лица 1967 года рождения и моложе, в отношении которых с 1 января 2014 года впервые начисляются страховые взносы на обязательное пенсионное страхование.</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До 31 декабря года, в котором истекает пятилетний период с момента первого начисления страховых взносов на обязательное пенсионное страхование, указанные граждане вправе:</w:t>
      </w:r>
    </w:p>
    <w:p w:rsidR="00BF7D37" w:rsidRPr="00BF7D37" w:rsidRDefault="00BF7D37" w:rsidP="00BF7D37">
      <w:pPr>
        <w:numPr>
          <w:ilvl w:val="0"/>
          <w:numId w:val="2"/>
        </w:numPr>
        <w:spacing w:line="360" w:lineRule="auto"/>
        <w:jc w:val="both"/>
        <w:rPr>
          <w:rFonts w:ascii="Arial" w:hAnsi="Arial" w:cs="Arial"/>
          <w:sz w:val="24"/>
          <w:szCs w:val="24"/>
        </w:rPr>
      </w:pPr>
      <w:r w:rsidRPr="00BF7D37">
        <w:rPr>
          <w:rFonts w:ascii="Arial" w:hAnsi="Arial" w:cs="Arial"/>
          <w:i/>
          <w:iCs/>
          <w:sz w:val="24"/>
          <w:szCs w:val="24"/>
        </w:rPr>
        <w:lastRenderedPageBreak/>
        <w:t>заключить договор об обязательном пенсионном страховании и обратиться с заявлением о переходе (досрочном переходе) в негосударственный пенсионный фонд;</w:t>
      </w:r>
    </w:p>
    <w:p w:rsidR="00BF7D37" w:rsidRPr="00BF7D37" w:rsidRDefault="00BF7D37" w:rsidP="00BF7D37">
      <w:pPr>
        <w:numPr>
          <w:ilvl w:val="0"/>
          <w:numId w:val="2"/>
        </w:numPr>
        <w:spacing w:line="360" w:lineRule="auto"/>
        <w:jc w:val="both"/>
        <w:rPr>
          <w:rFonts w:ascii="Arial" w:hAnsi="Arial" w:cs="Arial"/>
          <w:sz w:val="24"/>
          <w:szCs w:val="24"/>
        </w:rPr>
      </w:pPr>
      <w:r w:rsidRPr="00BF7D37">
        <w:rPr>
          <w:rFonts w:ascii="Arial" w:hAnsi="Arial" w:cs="Arial"/>
          <w:i/>
          <w:iCs/>
          <w:sz w:val="24"/>
          <w:szCs w:val="24"/>
        </w:rPr>
        <w:t>либо обратиться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w:t>
      </w:r>
    </w:p>
    <w:p w:rsidR="00BF7D37" w:rsidRPr="00BF7D37" w:rsidRDefault="00BF7D37" w:rsidP="00BF7D37">
      <w:pPr>
        <w:spacing w:line="360" w:lineRule="auto"/>
        <w:jc w:val="both"/>
        <w:rPr>
          <w:rFonts w:ascii="Arial" w:hAnsi="Arial" w:cs="Arial"/>
          <w:sz w:val="24"/>
          <w:szCs w:val="24"/>
        </w:rPr>
      </w:pPr>
      <w:proofErr w:type="gramStart"/>
      <w:r w:rsidRPr="00BF7D37">
        <w:rPr>
          <w:rFonts w:ascii="Arial" w:hAnsi="Arial" w:cs="Arial"/>
          <w:sz w:val="24"/>
          <w:szCs w:val="24"/>
        </w:rPr>
        <w:t>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6 % индивидуальной части тарифа страхового взноса, для указанных застрахованных лиц устанавливается вариант пенсионного обеспечения, предусматривающий направление страховых взносов на накопительную пенсию.</w:t>
      </w:r>
      <w:proofErr w:type="gramEnd"/>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До реализации данного права выбора, а также для лиц, не воспользовавшихся указанным правом, устанавливается вариант пенсионного обеспечения, предусматривающий направление на финансирование страховой пенсии страхового взноса в полном объеме.</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 xml:space="preserve">В случае если по истечении пятилетнего периода с момента первого начисления страховых взносов на обязательное пенсионное страхование </w:t>
      </w:r>
      <w:proofErr w:type="gramStart"/>
      <w:r w:rsidRPr="00BF7D37">
        <w:rPr>
          <w:rFonts w:ascii="Arial" w:hAnsi="Arial" w:cs="Arial"/>
          <w:sz w:val="24"/>
          <w:szCs w:val="24"/>
        </w:rPr>
        <w:t>данные застрахованные лица не достигли</w:t>
      </w:r>
      <w:proofErr w:type="gramEnd"/>
      <w:r w:rsidRPr="00BF7D37">
        <w:rPr>
          <w:rFonts w:ascii="Arial" w:hAnsi="Arial" w:cs="Arial"/>
          <w:sz w:val="24"/>
          <w:szCs w:val="24"/>
        </w:rPr>
        <w:t xml:space="preserve"> возраста 23 лет, указанный период продлевается до 31 декабря года, в котором лицо достигнет возраста 23 лет (включительно).</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Если гражданин принял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 Кроме того, застрахованное лицо по-прежнему вправе распоряжаться указанными пенсионными накоплениями и выбирать, кому доверить управление ими.</w:t>
      </w:r>
    </w:p>
    <w:p w:rsidR="00BF7D37" w:rsidRPr="00BF7D37" w:rsidRDefault="00BF7D37" w:rsidP="00BF7D37">
      <w:pPr>
        <w:spacing w:line="360" w:lineRule="auto"/>
        <w:jc w:val="both"/>
        <w:rPr>
          <w:rFonts w:ascii="Arial" w:hAnsi="Arial" w:cs="Arial"/>
          <w:sz w:val="24"/>
          <w:szCs w:val="24"/>
        </w:rPr>
      </w:pPr>
      <w:r w:rsidRPr="00BF7D37">
        <w:rPr>
          <w:rFonts w:ascii="Arial" w:hAnsi="Arial" w:cs="Arial"/>
          <w:b/>
          <w:bCs/>
          <w:sz w:val="24"/>
          <w:szCs w:val="24"/>
        </w:rPr>
        <w:t>Обращаем внимание, что в 2014, 2015,2016 и 2017-2019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Вне зависимости от выбора варианта пенсионного обеспечения в системе ОПС у всех граждан, имеющих пенсионные накопления, есть право доверить их управление:</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lastRenderedPageBreak/>
        <w:t> </w:t>
      </w:r>
      <w:r w:rsidRPr="00BF7D37">
        <w:rPr>
          <w:rFonts w:ascii="Arial" w:hAnsi="Arial" w:cs="Arial"/>
          <w:i/>
          <w:iCs/>
          <w:sz w:val="24"/>
          <w:szCs w:val="24"/>
        </w:rPr>
        <w:t xml:space="preserve">- Пенсионному фонду Российской Федерации, выбрав управляющую компанию (УК), отобранную по конкурсу, с которой ПФР заключил договор доверительного управления средствами пенсионных накоплений, в </w:t>
      </w:r>
      <w:proofErr w:type="spellStart"/>
      <w:r w:rsidRPr="00BF7D37">
        <w:rPr>
          <w:rFonts w:ascii="Arial" w:hAnsi="Arial" w:cs="Arial"/>
          <w:i/>
          <w:iCs/>
          <w:sz w:val="24"/>
          <w:szCs w:val="24"/>
        </w:rPr>
        <w:t>т.ч</w:t>
      </w:r>
      <w:proofErr w:type="spellEnd"/>
      <w:r w:rsidRPr="00BF7D37">
        <w:rPr>
          <w:rFonts w:ascii="Arial" w:hAnsi="Arial" w:cs="Arial"/>
          <w:i/>
          <w:iCs/>
          <w:sz w:val="24"/>
          <w:szCs w:val="24"/>
        </w:rPr>
        <w:t>. один из инвестиционных портфелей государственной управляющей компании (ГУК) - Внешэкономбанк;</w:t>
      </w:r>
    </w:p>
    <w:p w:rsidR="00BF7D37" w:rsidRPr="00BF7D37" w:rsidRDefault="00BF7D37" w:rsidP="00BF7D37">
      <w:pPr>
        <w:spacing w:line="360" w:lineRule="auto"/>
        <w:jc w:val="both"/>
        <w:rPr>
          <w:rFonts w:ascii="Arial" w:hAnsi="Arial" w:cs="Arial"/>
          <w:sz w:val="24"/>
          <w:szCs w:val="24"/>
        </w:rPr>
      </w:pPr>
      <w:r w:rsidRPr="00BF7D37">
        <w:rPr>
          <w:rFonts w:ascii="Arial" w:hAnsi="Arial" w:cs="Arial"/>
          <w:i/>
          <w:iCs/>
          <w:sz w:val="24"/>
          <w:szCs w:val="24"/>
        </w:rPr>
        <w:t> - негосударственному пенсионному фонду (НПФ), осуществляющему деятельность по обязательному пенсионному страхованию.</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Менять страховщика (ПФР или НПФ), управляющую компанию можно ежегодно, подав соответствующее заявление в ближайший территориальный орган ПФР.  Кроме того, различается порядок расчета сумм пенсионных накоплений, подлежащих перечислению новому страховщику. </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Обращаем внимание, что</w:t>
      </w:r>
      <w:r w:rsidRPr="00BF7D37">
        <w:rPr>
          <w:rFonts w:ascii="Arial" w:hAnsi="Arial" w:cs="Arial"/>
          <w:b/>
          <w:bCs/>
          <w:sz w:val="24"/>
          <w:szCs w:val="24"/>
        </w:rPr>
        <w:t xml:space="preserve"> е</w:t>
      </w:r>
      <w:r w:rsidRPr="00BF7D37">
        <w:rPr>
          <w:rFonts w:ascii="Arial" w:hAnsi="Arial" w:cs="Arial"/>
          <w:sz w:val="24"/>
          <w:szCs w:val="24"/>
        </w:rPr>
        <w:t>сли гражданин будет осуществлять смену страховщика чаще одного раза в пять лет, он может потерять инвестиционный доход, полученный предыдущим страховщиком. При этом</w:t>
      </w:r>
      <w:proofErr w:type="gramStart"/>
      <w:r w:rsidRPr="00BF7D37">
        <w:rPr>
          <w:rFonts w:ascii="Arial" w:hAnsi="Arial" w:cs="Arial"/>
          <w:sz w:val="24"/>
          <w:szCs w:val="24"/>
        </w:rPr>
        <w:t>,</w:t>
      </w:r>
      <w:proofErr w:type="gramEnd"/>
      <w:r w:rsidRPr="00BF7D37">
        <w:rPr>
          <w:rFonts w:ascii="Arial" w:hAnsi="Arial" w:cs="Arial"/>
          <w:sz w:val="24"/>
          <w:szCs w:val="24"/>
        </w:rPr>
        <w:t xml:space="preserve"> если страховщиком гражданина является ПФР, смену управляющей компании или инвестиционного портфеля УК можно производить ежегодно без потери инвестиционного дохода.</w:t>
      </w:r>
    </w:p>
    <w:p w:rsidR="00BF7D37" w:rsidRPr="00BF7D37" w:rsidRDefault="00BF7D37" w:rsidP="00BF7D37">
      <w:pPr>
        <w:spacing w:line="360" w:lineRule="auto"/>
        <w:jc w:val="both"/>
        <w:rPr>
          <w:rFonts w:ascii="Arial" w:hAnsi="Arial" w:cs="Arial"/>
          <w:sz w:val="24"/>
          <w:szCs w:val="24"/>
        </w:rPr>
      </w:pPr>
      <w:r w:rsidRPr="00BF7D37">
        <w:rPr>
          <w:rFonts w:ascii="Arial" w:hAnsi="Arial" w:cs="Arial"/>
          <w:b/>
          <w:bCs/>
          <w:sz w:val="24"/>
          <w:szCs w:val="24"/>
        </w:rPr>
        <w:t>В чем разница между УК и НПФ? </w:t>
      </w:r>
      <w:r w:rsidRPr="00BF7D37">
        <w:rPr>
          <w:rFonts w:ascii="Arial" w:hAnsi="Arial" w:cs="Arial"/>
          <w:sz w:val="24"/>
          <w:szCs w:val="24"/>
        </w:rPr>
        <w:t>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p>
    <w:p w:rsidR="00BF7D37" w:rsidRPr="00BF7D37" w:rsidRDefault="00BF7D37" w:rsidP="00BF7D37">
      <w:pPr>
        <w:spacing w:line="360" w:lineRule="auto"/>
        <w:jc w:val="both"/>
        <w:rPr>
          <w:rFonts w:ascii="Arial" w:hAnsi="Arial" w:cs="Arial"/>
          <w:sz w:val="24"/>
          <w:szCs w:val="24"/>
        </w:rPr>
      </w:pPr>
      <w:r w:rsidRPr="00BF7D37">
        <w:rPr>
          <w:rFonts w:ascii="Arial" w:hAnsi="Arial" w:cs="Arial"/>
          <w:sz w:val="24"/>
          <w:szCs w:val="24"/>
        </w:rPr>
        <w:t>Средства пенсионных накоплений можно получить в виде:</w:t>
      </w:r>
    </w:p>
    <w:p w:rsidR="00BF7D37" w:rsidRPr="00BF7D37" w:rsidRDefault="00BF7D37" w:rsidP="00BF7D37">
      <w:pPr>
        <w:spacing w:line="360" w:lineRule="auto"/>
        <w:jc w:val="both"/>
        <w:rPr>
          <w:rFonts w:ascii="Arial" w:hAnsi="Arial" w:cs="Arial"/>
          <w:sz w:val="24"/>
          <w:szCs w:val="24"/>
        </w:rPr>
      </w:pPr>
      <w:r w:rsidRPr="00BF7D37">
        <w:rPr>
          <w:rFonts w:ascii="Arial" w:hAnsi="Arial" w:cs="Arial"/>
          <w:b/>
          <w:bCs/>
          <w:sz w:val="24"/>
          <w:szCs w:val="24"/>
        </w:rPr>
        <w:t xml:space="preserve">- единовременной выплаты, когда </w:t>
      </w:r>
      <w:r w:rsidRPr="00BF7D37">
        <w:rPr>
          <w:rFonts w:ascii="Arial" w:hAnsi="Arial" w:cs="Arial"/>
          <w:sz w:val="24"/>
          <w:szCs w:val="24"/>
        </w:rPr>
        <w:t>выплачиваются сразу все пенсионные накопления одной суммой, а получателями являются:</w:t>
      </w:r>
    </w:p>
    <w:p w:rsidR="00BF7D37" w:rsidRPr="00BF7D37" w:rsidRDefault="00BF7D37" w:rsidP="00BF7D37">
      <w:pPr>
        <w:numPr>
          <w:ilvl w:val="0"/>
          <w:numId w:val="3"/>
        </w:numPr>
        <w:spacing w:line="360" w:lineRule="auto"/>
        <w:jc w:val="both"/>
        <w:rPr>
          <w:rFonts w:ascii="Arial" w:hAnsi="Arial" w:cs="Arial"/>
          <w:sz w:val="24"/>
          <w:szCs w:val="24"/>
        </w:rPr>
      </w:pPr>
      <w:r w:rsidRPr="00BF7D37">
        <w:rPr>
          <w:rFonts w:ascii="Arial" w:hAnsi="Arial" w:cs="Arial"/>
          <w:i/>
          <w:iCs/>
          <w:sz w:val="24"/>
          <w:szCs w:val="24"/>
        </w:rPr>
        <w:t>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BF7D37" w:rsidRPr="00BF7D37" w:rsidRDefault="00BF7D37" w:rsidP="00BF7D37">
      <w:pPr>
        <w:numPr>
          <w:ilvl w:val="0"/>
          <w:numId w:val="3"/>
        </w:numPr>
        <w:spacing w:line="360" w:lineRule="auto"/>
        <w:jc w:val="both"/>
        <w:rPr>
          <w:rFonts w:ascii="Arial" w:hAnsi="Arial" w:cs="Arial"/>
          <w:sz w:val="24"/>
          <w:szCs w:val="24"/>
        </w:rPr>
      </w:pPr>
      <w:r w:rsidRPr="00BF7D37">
        <w:rPr>
          <w:rFonts w:ascii="Arial" w:hAnsi="Arial" w:cs="Arial"/>
          <w:i/>
          <w:iCs/>
          <w:sz w:val="24"/>
          <w:szCs w:val="24"/>
        </w:rPr>
        <w:t xml:space="preserve">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w:t>
      </w:r>
      <w:r w:rsidRPr="00BF7D37">
        <w:rPr>
          <w:rFonts w:ascii="Arial" w:hAnsi="Arial" w:cs="Arial"/>
          <w:i/>
          <w:iCs/>
          <w:sz w:val="24"/>
          <w:szCs w:val="24"/>
        </w:rPr>
        <w:lastRenderedPageBreak/>
        <w:t>необходимого страхового стажа или необходимого количества пенсионных баллов (с учетом переходных положений пенсионной формулы).</w:t>
      </w:r>
    </w:p>
    <w:p w:rsidR="00BF7D37" w:rsidRPr="00BF7D37" w:rsidRDefault="00BF7D37" w:rsidP="00BF7D37">
      <w:pPr>
        <w:spacing w:line="360" w:lineRule="auto"/>
        <w:jc w:val="both"/>
        <w:rPr>
          <w:rFonts w:ascii="Arial" w:hAnsi="Arial" w:cs="Arial"/>
          <w:sz w:val="24"/>
          <w:szCs w:val="24"/>
        </w:rPr>
      </w:pPr>
      <w:r w:rsidRPr="00BF7D37">
        <w:rPr>
          <w:rFonts w:ascii="Arial" w:hAnsi="Arial" w:cs="Arial"/>
          <w:b/>
          <w:bCs/>
          <w:sz w:val="24"/>
          <w:szCs w:val="24"/>
        </w:rPr>
        <w:t>- срочной пенсионной выплаты.</w:t>
      </w:r>
      <w:r w:rsidRPr="00BF7D37">
        <w:rPr>
          <w:rFonts w:ascii="Arial" w:hAnsi="Arial" w:cs="Arial"/>
          <w:sz w:val="24"/>
          <w:szCs w:val="24"/>
        </w:rPr>
        <w:t xml:space="preserve"> Ее продолжительность определяет сам гражданин, но она не может быть меньше 10 лет. </w:t>
      </w:r>
      <w:proofErr w:type="gramStart"/>
      <w:r w:rsidRPr="00BF7D37">
        <w:rPr>
          <w:rFonts w:ascii="Arial" w:hAnsi="Arial" w:cs="Arial"/>
          <w:sz w:val="24"/>
          <w:szCs w:val="24"/>
        </w:rPr>
        <w:t xml:space="preserve">Выплачивается при возникновении права на пенсию по старости лицам, сформировавшим пенсионные накопления за счет взносов в рамках Программы государственного </w:t>
      </w:r>
      <w:proofErr w:type="spellStart"/>
      <w:r w:rsidRPr="00BF7D37">
        <w:rPr>
          <w:rFonts w:ascii="Arial" w:hAnsi="Arial" w:cs="Arial"/>
          <w:sz w:val="24"/>
          <w:szCs w:val="24"/>
        </w:rPr>
        <w:t>софинансирования</w:t>
      </w:r>
      <w:proofErr w:type="spellEnd"/>
      <w:r w:rsidRPr="00BF7D37">
        <w:rPr>
          <w:rFonts w:ascii="Arial" w:hAnsi="Arial" w:cs="Arial"/>
          <w:sz w:val="24"/>
          <w:szCs w:val="24"/>
        </w:rPr>
        <w:t xml:space="preserve"> пенсии, в том числе взносов работодателя, взносов государства на </w:t>
      </w:r>
      <w:proofErr w:type="spellStart"/>
      <w:r w:rsidRPr="00BF7D37">
        <w:rPr>
          <w:rFonts w:ascii="Arial" w:hAnsi="Arial" w:cs="Arial"/>
          <w:sz w:val="24"/>
          <w:szCs w:val="24"/>
        </w:rPr>
        <w:t>софинансирование</w:t>
      </w:r>
      <w:proofErr w:type="spellEnd"/>
      <w:r w:rsidRPr="00BF7D37">
        <w:rPr>
          <w:rFonts w:ascii="Arial" w:hAnsi="Arial" w:cs="Arial"/>
          <w:sz w:val="24"/>
          <w:szCs w:val="24"/>
        </w:rP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proofErr w:type="gramEnd"/>
    </w:p>
    <w:p w:rsidR="00BF7D37" w:rsidRPr="00BF7D37" w:rsidRDefault="00BF7D37" w:rsidP="00BF7D37">
      <w:pPr>
        <w:spacing w:line="360" w:lineRule="auto"/>
        <w:jc w:val="both"/>
        <w:rPr>
          <w:rFonts w:ascii="Arial" w:hAnsi="Arial" w:cs="Arial"/>
          <w:sz w:val="24"/>
          <w:szCs w:val="24"/>
        </w:rPr>
      </w:pPr>
      <w:r w:rsidRPr="00BF7D37">
        <w:rPr>
          <w:rFonts w:ascii="Arial" w:hAnsi="Arial" w:cs="Arial"/>
          <w:b/>
          <w:bCs/>
          <w:sz w:val="24"/>
          <w:szCs w:val="24"/>
        </w:rPr>
        <w:t>- накопительной пенсии </w:t>
      </w:r>
      <w:r w:rsidRPr="00BF7D37">
        <w:rPr>
          <w:rFonts w:ascii="Arial" w:hAnsi="Arial" w:cs="Arial"/>
          <w:sz w:val="24"/>
          <w:szCs w:val="24"/>
        </w:rPr>
        <w:t>– осуществляется ежемесячно и пожизненно</w:t>
      </w:r>
      <w:r w:rsidRPr="00BF7D37">
        <w:rPr>
          <w:rFonts w:ascii="Arial" w:hAnsi="Arial" w:cs="Arial"/>
          <w:b/>
          <w:bCs/>
          <w:sz w:val="24"/>
          <w:szCs w:val="24"/>
        </w:rPr>
        <w:t>.</w:t>
      </w:r>
      <w:r w:rsidRPr="00BF7D37">
        <w:rPr>
          <w:rFonts w:ascii="Arial" w:hAnsi="Arial" w:cs="Arial"/>
          <w:sz w:val="24"/>
          <w:szCs w:val="24"/>
        </w:rPr>
        <w:t> Ее размер рассчитывается исходя из ожидаемого периода выплаты – 19,5 лет (234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234 месяца.</w:t>
      </w:r>
    </w:p>
    <w:p w:rsidR="00924688" w:rsidRDefault="00924688" w:rsidP="00BF7D37">
      <w:pPr>
        <w:spacing w:line="360" w:lineRule="auto"/>
      </w:pPr>
    </w:p>
    <w:p w:rsidR="00D91269" w:rsidRDefault="00D91269" w:rsidP="00BF7D37">
      <w:pPr>
        <w:spacing w:line="360" w:lineRule="auto"/>
      </w:pPr>
    </w:p>
    <w:p w:rsidR="00D91269" w:rsidRPr="001D6D88" w:rsidRDefault="00D91269" w:rsidP="00D91269">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b/>
          <w:bCs/>
          <w:color w:val="333399"/>
          <w:sz w:val="24"/>
          <w:szCs w:val="24"/>
          <w:bdr w:val="none" w:sz="0" w:space="0" w:color="auto" w:frame="1"/>
          <w:lang w:eastAsia="ru-RU"/>
        </w:rPr>
        <w:t>Пресс-служба</w:t>
      </w:r>
    </w:p>
    <w:p w:rsidR="00D91269" w:rsidRPr="001D6D88" w:rsidRDefault="00D91269" w:rsidP="00D91269">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b/>
          <w:bCs/>
          <w:color w:val="333399"/>
          <w:sz w:val="24"/>
          <w:szCs w:val="24"/>
          <w:bdr w:val="none" w:sz="0" w:space="0" w:color="auto" w:frame="1"/>
          <w:lang w:eastAsia="ru-RU"/>
        </w:rPr>
        <w:t>Отделения Пенсионного фонда РФ</w:t>
      </w:r>
    </w:p>
    <w:p w:rsidR="00D91269" w:rsidRPr="001D6D88" w:rsidRDefault="00D91269" w:rsidP="00D91269">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b/>
          <w:bCs/>
          <w:color w:val="333399"/>
          <w:sz w:val="24"/>
          <w:szCs w:val="24"/>
          <w:bdr w:val="none" w:sz="0" w:space="0" w:color="auto" w:frame="1"/>
          <w:lang w:eastAsia="ru-RU"/>
        </w:rPr>
        <w:t>по Кабардино-Балкарской республике</w:t>
      </w:r>
    </w:p>
    <w:p w:rsidR="00D91269" w:rsidRPr="001D6D88" w:rsidRDefault="00D91269" w:rsidP="00D91269">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color w:val="333333"/>
          <w:sz w:val="24"/>
          <w:szCs w:val="24"/>
          <w:bdr w:val="none" w:sz="0" w:space="0" w:color="auto" w:frame="1"/>
          <w:lang w:eastAsia="ru-RU"/>
        </w:rPr>
        <w:t>г. Нальчик, ул. Чернышевского 181 «а»,</w:t>
      </w:r>
    </w:p>
    <w:p w:rsidR="00D91269" w:rsidRPr="001D6D88" w:rsidRDefault="00D91269" w:rsidP="00D91269">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color w:val="333333"/>
          <w:sz w:val="24"/>
          <w:szCs w:val="24"/>
          <w:bdr w:val="none" w:sz="0" w:space="0" w:color="auto" w:frame="1"/>
          <w:lang w:eastAsia="ru-RU"/>
        </w:rPr>
        <w:t>Офис # 316, Вебсайт: www.pfrf.ru/ot_kabbal/</w:t>
      </w:r>
    </w:p>
    <w:p w:rsidR="00D91269" w:rsidRPr="001D6D88" w:rsidRDefault="00D91269" w:rsidP="00D91269">
      <w:pPr>
        <w:spacing w:after="0" w:line="360" w:lineRule="auto"/>
        <w:ind w:firstLine="4395"/>
        <w:textAlignment w:val="baseline"/>
        <w:rPr>
          <w:rFonts w:ascii="Arial" w:eastAsia="Times New Roman" w:hAnsi="Arial" w:cs="Arial"/>
          <w:color w:val="000000"/>
          <w:sz w:val="24"/>
          <w:szCs w:val="24"/>
          <w:lang w:val="en-US" w:eastAsia="ru-RU"/>
        </w:rPr>
      </w:pPr>
      <w:r w:rsidRPr="001D6D88">
        <w:rPr>
          <w:rFonts w:ascii="Arial" w:eastAsia="Times New Roman" w:hAnsi="Arial" w:cs="Arial"/>
          <w:color w:val="333333"/>
          <w:sz w:val="24"/>
          <w:szCs w:val="24"/>
          <w:bdr w:val="none" w:sz="0" w:space="0" w:color="auto" w:frame="1"/>
          <w:lang w:val="en-US" w:eastAsia="ru-RU"/>
        </w:rPr>
        <w:t>E-mail: opfr_po_kbr@mail.ru</w:t>
      </w:r>
    </w:p>
    <w:p w:rsidR="00D91269" w:rsidRPr="00DA1764" w:rsidRDefault="00D91269" w:rsidP="00D91269">
      <w:pPr>
        <w:pStyle w:val="a3"/>
        <w:spacing w:line="360" w:lineRule="auto"/>
        <w:ind w:firstLine="5245"/>
        <w:rPr>
          <w:rFonts w:ascii="Arial" w:hAnsi="Arial" w:cs="Arial"/>
          <w:color w:val="595959" w:themeColor="text1" w:themeTint="A6"/>
          <w:sz w:val="24"/>
          <w:szCs w:val="24"/>
          <w:lang w:val="en-US"/>
        </w:rPr>
      </w:pPr>
      <w:r w:rsidRPr="00DA1764">
        <w:rPr>
          <w:rFonts w:ascii="Arial" w:hAnsi="Arial" w:cs="Arial"/>
          <w:color w:val="595959" w:themeColor="text1" w:themeTint="A6"/>
          <w:sz w:val="24"/>
          <w:szCs w:val="24"/>
          <w:lang w:val="en-US"/>
        </w:rPr>
        <w:t> </w:t>
      </w:r>
    </w:p>
    <w:p w:rsidR="00D91269" w:rsidRPr="00D91269" w:rsidRDefault="00D91269" w:rsidP="00BF7D37">
      <w:pPr>
        <w:spacing w:line="360" w:lineRule="auto"/>
        <w:rPr>
          <w:lang w:val="en-US"/>
        </w:rPr>
      </w:pPr>
      <w:bookmarkStart w:id="0" w:name="_GoBack"/>
      <w:bookmarkEnd w:id="0"/>
    </w:p>
    <w:sectPr w:rsidR="00D91269" w:rsidRPr="00D91269" w:rsidSect="00BF7D3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D68"/>
    <w:multiLevelType w:val="multilevel"/>
    <w:tmpl w:val="CC56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92DEF"/>
    <w:multiLevelType w:val="multilevel"/>
    <w:tmpl w:val="ACA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36B57"/>
    <w:multiLevelType w:val="multilevel"/>
    <w:tmpl w:val="6BF6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37"/>
    <w:rsid w:val="00103F87"/>
    <w:rsid w:val="00924688"/>
    <w:rsid w:val="00BA67DE"/>
    <w:rsid w:val="00BF7D37"/>
    <w:rsid w:val="00D9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2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180">
      <w:bodyDiv w:val="1"/>
      <w:marLeft w:val="0"/>
      <w:marRight w:val="0"/>
      <w:marTop w:val="0"/>
      <w:marBottom w:val="0"/>
      <w:divBdr>
        <w:top w:val="none" w:sz="0" w:space="0" w:color="auto"/>
        <w:left w:val="none" w:sz="0" w:space="0" w:color="auto"/>
        <w:bottom w:val="none" w:sz="0" w:space="0" w:color="auto"/>
        <w:right w:val="none" w:sz="0" w:space="0" w:color="auto"/>
      </w:divBdr>
      <w:divsChild>
        <w:div w:id="583612481">
          <w:marLeft w:val="0"/>
          <w:marRight w:val="0"/>
          <w:marTop w:val="0"/>
          <w:marBottom w:val="0"/>
          <w:divBdr>
            <w:top w:val="none" w:sz="0" w:space="0" w:color="auto"/>
            <w:left w:val="none" w:sz="0" w:space="0" w:color="auto"/>
            <w:bottom w:val="none" w:sz="0" w:space="0" w:color="auto"/>
            <w:right w:val="none" w:sz="0" w:space="0" w:color="auto"/>
          </w:divBdr>
          <w:divsChild>
            <w:div w:id="332803459">
              <w:marLeft w:val="0"/>
              <w:marRight w:val="0"/>
              <w:marTop w:val="0"/>
              <w:marBottom w:val="0"/>
              <w:divBdr>
                <w:top w:val="none" w:sz="0" w:space="0" w:color="auto"/>
                <w:left w:val="none" w:sz="0" w:space="0" w:color="auto"/>
                <w:bottom w:val="none" w:sz="0" w:space="0" w:color="auto"/>
                <w:right w:val="none" w:sz="0" w:space="0" w:color="auto"/>
              </w:divBdr>
            </w:div>
          </w:divsChild>
        </w:div>
        <w:div w:id="997922779">
          <w:marLeft w:val="0"/>
          <w:marRight w:val="0"/>
          <w:marTop w:val="0"/>
          <w:marBottom w:val="0"/>
          <w:divBdr>
            <w:top w:val="none" w:sz="0" w:space="0" w:color="auto"/>
            <w:left w:val="none" w:sz="0" w:space="0" w:color="auto"/>
            <w:bottom w:val="none" w:sz="0" w:space="0" w:color="auto"/>
            <w:right w:val="none" w:sz="0" w:space="0" w:color="auto"/>
          </w:divBdr>
          <w:divsChild>
            <w:div w:id="1470318075">
              <w:marLeft w:val="0"/>
              <w:marRight w:val="0"/>
              <w:marTop w:val="0"/>
              <w:marBottom w:val="0"/>
              <w:divBdr>
                <w:top w:val="none" w:sz="0" w:space="0" w:color="auto"/>
                <w:left w:val="none" w:sz="0" w:space="0" w:color="auto"/>
                <w:bottom w:val="none" w:sz="0" w:space="0" w:color="auto"/>
                <w:right w:val="none" w:sz="0" w:space="0" w:color="auto"/>
              </w:divBdr>
              <w:divsChild>
                <w:div w:id="1147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1153</Words>
  <Characters>6577</Characters>
  <Application>Microsoft Office Word</Application>
  <DocSecurity>0</DocSecurity>
  <Lines>54</Lines>
  <Paragraphs>15</Paragraphs>
  <ScaleCrop>false</ScaleCrop>
  <Company>Kraftway</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2017-05-23T05:29:00Z</dcterms:created>
  <dcterms:modified xsi:type="dcterms:W3CDTF">2017-05-23T07:39:00Z</dcterms:modified>
</cp:coreProperties>
</file>